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3"/>
        <w:gridCol w:w="1683"/>
        <w:gridCol w:w="7200"/>
        <w:gridCol w:w="1020"/>
        <w:gridCol w:w="2970"/>
      </w:tblGrid>
      <w:tr w14:paraId="3A20C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213" w:type="dxa"/>
            <w:tcBorders>
              <w:top w:val="single" w:color="auto" w:sz="4" w:space="0"/>
            </w:tcBorders>
            <w:vAlign w:val="center"/>
          </w:tcPr>
          <w:p w14:paraId="12B917CF">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研究组</w:t>
            </w:r>
          </w:p>
        </w:tc>
        <w:tc>
          <w:tcPr>
            <w:tcW w:w="1683" w:type="dxa"/>
            <w:tcBorders>
              <w:top w:val="single" w:color="auto" w:sz="4" w:space="0"/>
            </w:tcBorders>
            <w:vAlign w:val="center"/>
          </w:tcPr>
          <w:p w14:paraId="41CC87E6">
            <w:pPr>
              <w:jc w:val="center"/>
              <w:rPr>
                <w:rFonts w:hint="eastAsia" w:ascii="宋体" w:hAnsi="宋体" w:eastAsia="宋体" w:cs="宋体"/>
                <w:b/>
                <w:bCs/>
                <w:sz w:val="24"/>
                <w:szCs w:val="24"/>
              </w:rPr>
            </w:pPr>
            <w:r>
              <w:rPr>
                <w:rFonts w:hint="eastAsia" w:ascii="宋体" w:hAnsi="宋体" w:eastAsia="宋体" w:cs="宋体"/>
                <w:b/>
                <w:bCs/>
                <w:sz w:val="24"/>
                <w:szCs w:val="24"/>
              </w:rPr>
              <w:t>岗位研究方向</w:t>
            </w:r>
          </w:p>
        </w:tc>
        <w:tc>
          <w:tcPr>
            <w:tcW w:w="7200" w:type="dxa"/>
            <w:tcBorders>
              <w:top w:val="single" w:color="auto" w:sz="4" w:space="0"/>
            </w:tcBorders>
            <w:vAlign w:val="center"/>
          </w:tcPr>
          <w:p w14:paraId="030FF424">
            <w:pPr>
              <w:jc w:val="center"/>
              <w:rPr>
                <w:rFonts w:hint="eastAsia" w:ascii="宋体" w:hAnsi="宋体" w:eastAsia="宋体" w:cs="宋体"/>
                <w:b/>
                <w:bCs/>
                <w:sz w:val="24"/>
                <w:szCs w:val="24"/>
              </w:rPr>
            </w:pPr>
            <w:r>
              <w:rPr>
                <w:rFonts w:hint="eastAsia" w:ascii="宋体" w:hAnsi="宋体" w:eastAsia="宋体" w:cs="宋体"/>
                <w:b/>
                <w:bCs/>
                <w:sz w:val="24"/>
                <w:szCs w:val="24"/>
              </w:rPr>
              <w:t>岗位要求</w:t>
            </w:r>
          </w:p>
        </w:tc>
        <w:tc>
          <w:tcPr>
            <w:tcW w:w="1020" w:type="dxa"/>
            <w:tcBorders>
              <w:top w:val="single" w:color="auto" w:sz="4" w:space="0"/>
            </w:tcBorders>
            <w:vAlign w:val="center"/>
          </w:tcPr>
          <w:p w14:paraId="5649789A">
            <w:pPr>
              <w:jc w:val="center"/>
              <w:rPr>
                <w:rFonts w:hint="eastAsia" w:ascii="宋体" w:hAnsi="宋体" w:eastAsia="宋体" w:cs="宋体"/>
                <w:b/>
                <w:bCs/>
                <w:sz w:val="24"/>
                <w:szCs w:val="24"/>
              </w:rPr>
            </w:pPr>
            <w:r>
              <w:rPr>
                <w:rFonts w:hint="eastAsia" w:ascii="宋体" w:hAnsi="宋体" w:eastAsia="宋体" w:cs="宋体"/>
                <w:b/>
                <w:bCs/>
                <w:sz w:val="24"/>
                <w:szCs w:val="24"/>
              </w:rPr>
              <w:t>岗位数</w:t>
            </w:r>
          </w:p>
        </w:tc>
        <w:tc>
          <w:tcPr>
            <w:tcW w:w="2970" w:type="dxa"/>
            <w:tcBorders>
              <w:top w:val="single" w:color="auto" w:sz="4" w:space="0"/>
            </w:tcBorders>
            <w:vAlign w:val="center"/>
          </w:tcPr>
          <w:p w14:paraId="414D1606">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研究组负责人</w:t>
            </w:r>
          </w:p>
        </w:tc>
      </w:tr>
      <w:tr w14:paraId="02645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1213" w:type="dxa"/>
            <w:tcBorders>
              <w:top w:val="single" w:color="auto" w:sz="4" w:space="0"/>
            </w:tcBorders>
            <w:shd w:val="clear" w:color="auto" w:fill="auto"/>
            <w:vAlign w:val="center"/>
          </w:tcPr>
          <w:p w14:paraId="0E09736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园艺作物逆境生物学</w:t>
            </w:r>
          </w:p>
        </w:tc>
        <w:tc>
          <w:tcPr>
            <w:tcW w:w="1683" w:type="dxa"/>
            <w:tcBorders>
              <w:top w:val="single" w:color="auto" w:sz="4" w:space="0"/>
            </w:tcBorders>
            <w:shd w:val="clear" w:color="auto" w:fill="auto"/>
            <w:vAlign w:val="center"/>
          </w:tcPr>
          <w:p w14:paraId="2F84E65F">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葡萄抗寒基因功能验证</w:t>
            </w:r>
          </w:p>
        </w:tc>
        <w:tc>
          <w:tcPr>
            <w:tcW w:w="7200" w:type="dxa"/>
            <w:tcBorders>
              <w:top w:val="single" w:color="auto" w:sz="4" w:space="0"/>
            </w:tcBorders>
            <w:shd w:val="clear" w:color="auto" w:fill="auto"/>
            <w:vAlign w:val="center"/>
          </w:tcPr>
          <w:p w14:paraId="37861224">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熟悉常规分子生物学常规操作；以第一作者发表学术论文2篇及以上；熟悉葡萄遗传转化系统或拥有生物信息学研究背景者优先。</w:t>
            </w:r>
          </w:p>
        </w:tc>
        <w:tc>
          <w:tcPr>
            <w:tcW w:w="1020" w:type="dxa"/>
            <w:tcBorders>
              <w:top w:val="single" w:color="auto" w:sz="4" w:space="0"/>
            </w:tcBorders>
            <w:shd w:val="clear" w:color="auto" w:fill="auto"/>
            <w:vAlign w:val="center"/>
          </w:tcPr>
          <w:p w14:paraId="4635AC9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2970" w:type="dxa"/>
            <w:tcBorders>
              <w:top w:val="single" w:color="auto" w:sz="4" w:space="0"/>
            </w:tcBorders>
            <w:shd w:val="clear" w:color="auto" w:fill="auto"/>
            <w:vAlign w:val="center"/>
          </w:tcPr>
          <w:p w14:paraId="0A18D27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辛海平</w:t>
            </w:r>
          </w:p>
          <w:p w14:paraId="5E3019E4">
            <w:pPr>
              <w:jc w:val="center"/>
              <w:rPr>
                <w:rFonts w:hint="eastAsia" w:ascii="宋体" w:hAnsi="宋体" w:eastAsia="宋体" w:cs="宋体"/>
                <w:sz w:val="24"/>
                <w:szCs w:val="24"/>
              </w:rPr>
            </w:pPr>
            <w:r>
              <w:rPr>
                <w:rFonts w:hint="eastAsia" w:ascii="宋体" w:hAnsi="宋体" w:eastAsia="宋体" w:cs="宋体"/>
                <w:sz w:val="24"/>
                <w:szCs w:val="24"/>
                <w:lang w:val="en-US" w:eastAsia="zh-CN"/>
              </w:rPr>
              <w:t>xinhaiping@wbgcas.cn</w:t>
            </w:r>
          </w:p>
        </w:tc>
      </w:tr>
      <w:tr w14:paraId="5550A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1213" w:type="dxa"/>
            <w:vMerge w:val="restart"/>
            <w:tcBorders>
              <w:top w:val="single" w:color="auto" w:sz="4" w:space="0"/>
            </w:tcBorders>
            <w:shd w:val="clear" w:color="auto" w:fill="auto"/>
            <w:vAlign w:val="center"/>
          </w:tcPr>
          <w:p w14:paraId="2AAC0B0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进化生态学</w:t>
            </w:r>
          </w:p>
        </w:tc>
        <w:tc>
          <w:tcPr>
            <w:tcW w:w="1683" w:type="dxa"/>
            <w:tcBorders>
              <w:top w:val="single" w:color="auto" w:sz="4" w:space="0"/>
            </w:tcBorders>
            <w:shd w:val="clear" w:color="auto" w:fill="auto"/>
            <w:vAlign w:val="center"/>
          </w:tcPr>
          <w:p w14:paraId="0082C22B">
            <w:pP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植物分子生物学</w:t>
            </w:r>
          </w:p>
        </w:tc>
        <w:tc>
          <w:tcPr>
            <w:tcW w:w="7200" w:type="dxa"/>
            <w:tcBorders>
              <w:top w:val="single" w:color="auto" w:sz="4" w:space="0"/>
            </w:tcBorders>
            <w:shd w:val="clear" w:color="auto" w:fill="auto"/>
            <w:vAlign w:val="center"/>
          </w:tcPr>
          <w:p w14:paraId="0B1CFFF1">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分子生物学等相关专业背景；熟悉植物遗传转化体系的建立与操作；具备拟南芥、浮萍或其他植物的分子生物学研究经验者优先考虑。</w:t>
            </w:r>
          </w:p>
        </w:tc>
        <w:tc>
          <w:tcPr>
            <w:tcW w:w="1020" w:type="dxa"/>
            <w:tcBorders>
              <w:top w:val="single" w:color="auto" w:sz="4" w:space="0"/>
            </w:tcBorders>
            <w:shd w:val="clear" w:color="auto" w:fill="auto"/>
            <w:vAlign w:val="center"/>
          </w:tcPr>
          <w:p w14:paraId="4848C49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970" w:type="dxa"/>
            <w:vMerge w:val="restart"/>
            <w:tcBorders>
              <w:top w:val="single" w:color="auto" w:sz="4" w:space="0"/>
            </w:tcBorders>
            <w:shd w:val="clear" w:color="auto" w:fill="auto"/>
            <w:vAlign w:val="center"/>
          </w:tcPr>
          <w:p w14:paraId="109A15B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魏娜</w:t>
            </w:r>
          </w:p>
          <w:p w14:paraId="64C15841">
            <w:pPr>
              <w:jc w:val="center"/>
              <w:rPr>
                <w:rFonts w:hint="eastAsia" w:ascii="宋体" w:hAnsi="宋体" w:eastAsia="宋体" w:cs="宋体"/>
                <w:sz w:val="24"/>
                <w:szCs w:val="24"/>
              </w:rPr>
            </w:pPr>
            <w:r>
              <w:rPr>
                <w:rFonts w:hint="eastAsia" w:ascii="宋体" w:hAnsi="宋体" w:eastAsia="宋体" w:cs="宋体"/>
                <w:sz w:val="24"/>
                <w:szCs w:val="24"/>
                <w:lang w:val="en-US" w:eastAsia="zh-CN"/>
              </w:rPr>
              <w:t>weina@wbgcas.cn</w:t>
            </w:r>
          </w:p>
        </w:tc>
      </w:tr>
      <w:tr w14:paraId="37451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1213" w:type="dxa"/>
            <w:vMerge w:val="continue"/>
            <w:shd w:val="clear" w:color="auto" w:fill="auto"/>
            <w:vAlign w:val="center"/>
          </w:tcPr>
          <w:p w14:paraId="22A6B5A4">
            <w:pPr>
              <w:jc w:val="center"/>
              <w:rPr>
                <w:rFonts w:hint="eastAsia" w:ascii="宋体" w:hAnsi="宋体" w:eastAsia="宋体" w:cs="宋体"/>
                <w:kern w:val="2"/>
                <w:sz w:val="24"/>
                <w:szCs w:val="24"/>
                <w:lang w:val="en-US" w:eastAsia="zh-CN" w:bidi="ar-SA"/>
              </w:rPr>
            </w:pPr>
          </w:p>
        </w:tc>
        <w:tc>
          <w:tcPr>
            <w:tcW w:w="1683" w:type="dxa"/>
            <w:shd w:val="clear" w:color="auto" w:fill="auto"/>
            <w:vAlign w:val="center"/>
          </w:tcPr>
          <w:p w14:paraId="0C405AA3">
            <w:pP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植物-微生物共生</w:t>
            </w:r>
          </w:p>
        </w:tc>
        <w:tc>
          <w:tcPr>
            <w:tcW w:w="7200" w:type="dxa"/>
            <w:shd w:val="clear" w:color="auto" w:fill="auto"/>
            <w:vAlign w:val="center"/>
          </w:tcPr>
          <w:p w14:paraId="128E1A04">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微生物学、进化生物学、生态学等相关专业背景；具有较强的微生物实验操作能力和野外采样经验；具备微生物学研究或微生物组学分析经验者优先考虑。</w:t>
            </w:r>
          </w:p>
        </w:tc>
        <w:tc>
          <w:tcPr>
            <w:tcW w:w="1020" w:type="dxa"/>
            <w:shd w:val="clear" w:color="auto" w:fill="auto"/>
            <w:vAlign w:val="center"/>
          </w:tcPr>
          <w:p w14:paraId="1EA9367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970" w:type="dxa"/>
            <w:vMerge w:val="continue"/>
            <w:tcBorders/>
            <w:shd w:val="clear" w:color="auto" w:fill="auto"/>
            <w:vAlign w:val="center"/>
          </w:tcPr>
          <w:p w14:paraId="30651A86">
            <w:pPr>
              <w:jc w:val="center"/>
              <w:rPr>
                <w:rFonts w:hint="eastAsia" w:ascii="宋体" w:hAnsi="宋体" w:eastAsia="宋体" w:cs="宋体"/>
                <w:sz w:val="24"/>
                <w:szCs w:val="24"/>
              </w:rPr>
            </w:pPr>
          </w:p>
        </w:tc>
      </w:tr>
      <w:tr w14:paraId="2B4BB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213" w:type="dxa"/>
            <w:vMerge w:val="continue"/>
            <w:shd w:val="clear" w:color="auto" w:fill="auto"/>
            <w:vAlign w:val="center"/>
          </w:tcPr>
          <w:p w14:paraId="734B1209">
            <w:pPr>
              <w:jc w:val="center"/>
              <w:rPr>
                <w:rFonts w:hint="eastAsia" w:ascii="宋体" w:hAnsi="宋体" w:eastAsia="宋体" w:cs="宋体"/>
                <w:kern w:val="2"/>
                <w:sz w:val="24"/>
                <w:szCs w:val="24"/>
                <w:lang w:val="en-US" w:eastAsia="zh-CN" w:bidi="ar-SA"/>
              </w:rPr>
            </w:pPr>
          </w:p>
        </w:tc>
        <w:tc>
          <w:tcPr>
            <w:tcW w:w="1683" w:type="dxa"/>
            <w:shd w:val="clear" w:color="auto" w:fill="auto"/>
            <w:vAlign w:val="center"/>
          </w:tcPr>
          <w:p w14:paraId="7D3876E1">
            <w:pP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进化基因组与分子生态学</w:t>
            </w:r>
          </w:p>
        </w:tc>
        <w:tc>
          <w:tcPr>
            <w:tcW w:w="7200" w:type="dxa"/>
            <w:shd w:val="clear" w:color="auto" w:fill="auto"/>
            <w:vAlign w:val="center"/>
          </w:tcPr>
          <w:p w14:paraId="657F6DE8">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基因组学、多组学、种群遗传学、生物信息学等相关背景；熟练掌握编程语言；具有基因组及其他大数据分析能力和经验者优先考虑。</w:t>
            </w:r>
          </w:p>
        </w:tc>
        <w:tc>
          <w:tcPr>
            <w:tcW w:w="1020" w:type="dxa"/>
            <w:shd w:val="clear" w:color="auto" w:fill="auto"/>
            <w:vAlign w:val="center"/>
          </w:tcPr>
          <w:p w14:paraId="02D9222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970" w:type="dxa"/>
            <w:vMerge w:val="continue"/>
            <w:tcBorders/>
            <w:shd w:val="clear" w:color="auto" w:fill="auto"/>
            <w:vAlign w:val="center"/>
          </w:tcPr>
          <w:p w14:paraId="42A9D009">
            <w:pPr>
              <w:jc w:val="center"/>
              <w:rPr>
                <w:rFonts w:hint="eastAsia" w:ascii="宋体" w:hAnsi="宋体" w:eastAsia="宋体" w:cs="宋体"/>
                <w:sz w:val="24"/>
                <w:szCs w:val="24"/>
              </w:rPr>
            </w:pPr>
          </w:p>
        </w:tc>
      </w:tr>
      <w:tr w14:paraId="46E65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9" w:hRule="atLeast"/>
        </w:trPr>
        <w:tc>
          <w:tcPr>
            <w:tcW w:w="1213" w:type="dxa"/>
            <w:shd w:val="clear" w:color="auto" w:fill="auto"/>
            <w:vAlign w:val="center"/>
          </w:tcPr>
          <w:p w14:paraId="656F4C8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东亚植物演化、保护与创新利用</w:t>
            </w:r>
          </w:p>
        </w:tc>
        <w:tc>
          <w:tcPr>
            <w:tcW w:w="1683" w:type="dxa"/>
            <w:shd w:val="clear" w:color="auto" w:fill="auto"/>
            <w:vAlign w:val="center"/>
          </w:tcPr>
          <w:p w14:paraId="4A030F9D">
            <w:pPr>
              <w:rPr>
                <w:rFonts w:hint="eastAsia" w:ascii="宋体" w:hAnsi="宋体" w:eastAsia="宋体" w:cs="宋体"/>
                <w:color w:val="000000"/>
                <w:kern w:val="0"/>
                <w:sz w:val="24"/>
                <w:szCs w:val="24"/>
                <w:lang w:bidi="ar"/>
              </w:rPr>
            </w:pPr>
            <w:r>
              <w:rPr>
                <w:rFonts w:hint="eastAsia" w:ascii="宋体" w:hAnsi="宋体" w:eastAsia="宋体" w:cs="宋体"/>
                <w:sz w:val="24"/>
                <w:szCs w:val="24"/>
              </w:rPr>
              <w:t>植物性状形成的分子机理解析</w:t>
            </w:r>
          </w:p>
        </w:tc>
        <w:tc>
          <w:tcPr>
            <w:tcW w:w="7200" w:type="dxa"/>
            <w:shd w:val="clear" w:color="auto" w:fill="auto"/>
            <w:vAlign w:val="center"/>
          </w:tcPr>
          <w:p w14:paraId="089FC476">
            <w:pPr>
              <w:pStyle w:val="5"/>
              <w:numPr>
                <w:numId w:val="0"/>
              </w:numPr>
              <w:ind w:leftChars="0"/>
              <w:rPr>
                <w:rFonts w:hint="eastAsia" w:ascii="宋体" w:hAnsi="宋体" w:eastAsia="宋体" w:cs="宋体"/>
                <w:sz w:val="24"/>
                <w:szCs w:val="24"/>
                <w:lang w:eastAsia="zh-CN"/>
              </w:rPr>
            </w:pPr>
            <w:r>
              <w:rPr>
                <w:rFonts w:hint="eastAsia" w:ascii="宋体" w:hAnsi="宋体" w:eastAsia="宋体" w:cs="宋体"/>
                <w:color w:val="000000" w:themeColor="text1"/>
                <w:sz w:val="24"/>
                <w:szCs w:val="24"/>
                <w14:textFill>
                  <w14:solidFill>
                    <w14:schemeClr w14:val="tx1"/>
                  </w14:solidFill>
                </w14:textFill>
              </w:rPr>
              <w:t>具有分子生物学相关研究背景，有较强的中英文写作能力</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具有基因或调控元件功能验证、信号通路上下游调控研究经验</w:t>
            </w:r>
            <w:r>
              <w:rPr>
                <w:rFonts w:hint="eastAsia" w:ascii="宋体" w:hAnsi="宋体" w:cs="宋体"/>
                <w:sz w:val="24"/>
                <w:szCs w:val="24"/>
                <w:lang w:eastAsia="zh-CN"/>
              </w:rPr>
              <w:t>；</w:t>
            </w:r>
            <w:r>
              <w:rPr>
                <w:rFonts w:hint="eastAsia" w:ascii="宋体" w:hAnsi="宋体" w:eastAsia="宋体" w:cs="宋体"/>
                <w:color w:val="000000" w:themeColor="text1"/>
                <w:sz w:val="24"/>
                <w:szCs w:val="24"/>
                <w14:textFill>
                  <w14:solidFill>
                    <w14:schemeClr w14:val="tx1"/>
                  </w14:solidFill>
                </w14:textFill>
              </w:rPr>
              <w:t>以第一/通讯作者在相关领域的主流期刊上发表过相关研究论文或已获得较高水平的研究成果</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学术态度严谨，善于思考，注重团队合作</w:t>
            </w:r>
            <w:r>
              <w:rPr>
                <w:rFonts w:hint="eastAsia" w:ascii="宋体" w:hAnsi="宋体" w:cs="宋体"/>
                <w:color w:val="000000" w:themeColor="text1"/>
                <w:sz w:val="24"/>
                <w:szCs w:val="24"/>
                <w:lang w:eastAsia="zh-CN"/>
                <w14:textFill>
                  <w14:solidFill>
                    <w14:schemeClr w14:val="tx1"/>
                  </w14:solidFill>
                </w14:textFill>
              </w:rPr>
              <w:t>。</w:t>
            </w:r>
          </w:p>
        </w:tc>
        <w:tc>
          <w:tcPr>
            <w:tcW w:w="1020" w:type="dxa"/>
            <w:shd w:val="clear" w:color="auto" w:fill="auto"/>
            <w:vAlign w:val="center"/>
          </w:tcPr>
          <w:p w14:paraId="31A2C5E9">
            <w:pPr>
              <w:jc w:val="center"/>
              <w:rPr>
                <w:rFonts w:hint="eastAsia" w:ascii="宋体" w:hAnsi="宋体" w:eastAsia="宋体" w:cs="宋体"/>
                <w:sz w:val="24"/>
                <w:szCs w:val="24"/>
              </w:rPr>
            </w:pPr>
            <w:r>
              <w:rPr>
                <w:rFonts w:hint="eastAsia" w:ascii="宋体" w:hAnsi="宋体" w:eastAsia="宋体" w:cs="宋体"/>
                <w:sz w:val="24"/>
                <w:szCs w:val="24"/>
              </w:rPr>
              <w:t>1</w:t>
            </w:r>
            <w:bookmarkStart w:id="0" w:name="_GoBack"/>
            <w:bookmarkEnd w:id="0"/>
          </w:p>
        </w:tc>
        <w:tc>
          <w:tcPr>
            <w:tcW w:w="2970" w:type="dxa"/>
            <w:shd w:val="clear" w:color="auto" w:fill="auto"/>
            <w:vAlign w:val="center"/>
          </w:tcPr>
          <w:p w14:paraId="37BBE7F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邱英雄</w:t>
            </w:r>
          </w:p>
          <w:p w14:paraId="2F353E29">
            <w:pPr>
              <w:jc w:val="center"/>
              <w:rPr>
                <w:rFonts w:hint="eastAsia" w:ascii="宋体" w:hAnsi="宋体" w:eastAsia="宋体" w:cs="宋体"/>
                <w:sz w:val="24"/>
                <w:szCs w:val="24"/>
              </w:rPr>
            </w:pPr>
            <w:r>
              <w:rPr>
                <w:rFonts w:hint="eastAsia" w:ascii="宋体" w:hAnsi="宋体" w:eastAsia="宋体" w:cs="宋体"/>
                <w:sz w:val="24"/>
                <w:szCs w:val="24"/>
                <w:lang w:val="en-US" w:eastAsia="zh-CN"/>
              </w:rPr>
              <w:t>qiuyingxiong@wbgcas.cn</w:t>
            </w:r>
          </w:p>
        </w:tc>
      </w:tr>
      <w:tr w14:paraId="0DB47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trPr>
        <w:tc>
          <w:tcPr>
            <w:tcW w:w="1213" w:type="dxa"/>
            <w:shd w:val="clear" w:color="auto" w:fill="auto"/>
            <w:vAlign w:val="center"/>
          </w:tcPr>
          <w:p w14:paraId="01F98268">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药用植物资源</w:t>
            </w:r>
          </w:p>
        </w:tc>
        <w:tc>
          <w:tcPr>
            <w:tcW w:w="1683" w:type="dxa"/>
            <w:shd w:val="clear" w:color="auto" w:fill="auto"/>
            <w:vAlign w:val="center"/>
          </w:tcPr>
          <w:p w14:paraId="44C62623">
            <w:pP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药用植物分子生物学</w:t>
            </w:r>
          </w:p>
        </w:tc>
        <w:tc>
          <w:tcPr>
            <w:tcW w:w="7200" w:type="dxa"/>
            <w:shd w:val="clear" w:color="auto" w:fill="auto"/>
            <w:vAlign w:val="center"/>
          </w:tcPr>
          <w:p w14:paraId="2B7D7F1B">
            <w:pP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植物遗传育种、合成生物学等相关专业</w:t>
            </w:r>
          </w:p>
        </w:tc>
        <w:tc>
          <w:tcPr>
            <w:tcW w:w="1020" w:type="dxa"/>
            <w:shd w:val="clear" w:color="auto" w:fill="auto"/>
            <w:vAlign w:val="center"/>
          </w:tcPr>
          <w:p w14:paraId="26234F2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970" w:type="dxa"/>
            <w:shd w:val="clear" w:color="auto" w:fill="auto"/>
            <w:vAlign w:val="center"/>
          </w:tcPr>
          <w:p w14:paraId="0E2DD92D">
            <w:pPr>
              <w:jc w:val="center"/>
              <w:rPr>
                <w:rFonts w:hint="eastAsia" w:ascii="宋体" w:hAnsi="宋体" w:eastAsia="宋体" w:cs="宋体"/>
                <w:sz w:val="24"/>
                <w:szCs w:val="24"/>
              </w:rPr>
            </w:pPr>
            <w:r>
              <w:rPr>
                <w:rFonts w:hint="eastAsia" w:ascii="宋体" w:hAnsi="宋体" w:eastAsia="宋体" w:cs="宋体"/>
                <w:sz w:val="24"/>
                <w:szCs w:val="24"/>
                <w:lang w:val="en-US" w:eastAsia="zh-CN"/>
              </w:rPr>
              <w:t>张燕君</w:t>
            </w:r>
            <w:r>
              <w:rPr>
                <w:rFonts w:hint="eastAsia" w:ascii="宋体" w:hAnsi="宋体" w:eastAsia="宋体" w:cs="宋体"/>
                <w:sz w:val="24"/>
                <w:szCs w:val="24"/>
              </w:rPr>
              <w:t>yanjunzhang@wbgcas.cn</w:t>
            </w:r>
          </w:p>
        </w:tc>
      </w:tr>
      <w:tr w14:paraId="36451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4" w:hRule="atLeast"/>
          <w:jc w:val="center"/>
        </w:trPr>
        <w:tc>
          <w:tcPr>
            <w:tcW w:w="1213" w:type="dxa"/>
            <w:vMerge w:val="restart"/>
            <w:shd w:val="clear" w:color="auto" w:fill="auto"/>
            <w:vAlign w:val="center"/>
          </w:tcPr>
          <w:p w14:paraId="631E361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药用植物药理学</w:t>
            </w:r>
          </w:p>
        </w:tc>
        <w:tc>
          <w:tcPr>
            <w:tcW w:w="1683" w:type="dxa"/>
            <w:shd w:val="clear" w:color="auto" w:fill="auto"/>
            <w:vAlign w:val="center"/>
          </w:tcPr>
          <w:p w14:paraId="0088C944">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药用植物活性蛋白和多肽的药效学和药理学</w:t>
            </w:r>
          </w:p>
          <w:p w14:paraId="007D5A49">
            <w:pPr>
              <w:spacing w:line="360" w:lineRule="auto"/>
              <w:rPr>
                <w:rFonts w:hint="eastAsia" w:ascii="宋体" w:hAnsi="宋体" w:eastAsia="宋体" w:cs="宋体"/>
                <w:color w:val="000000"/>
                <w:kern w:val="0"/>
                <w:sz w:val="24"/>
                <w:szCs w:val="24"/>
                <w:lang w:val="en-US" w:eastAsia="zh-CN" w:bidi="ar"/>
              </w:rPr>
            </w:pPr>
          </w:p>
        </w:tc>
        <w:tc>
          <w:tcPr>
            <w:tcW w:w="7200" w:type="dxa"/>
            <w:shd w:val="clear" w:color="auto" w:fill="auto"/>
            <w:vAlign w:val="center"/>
          </w:tcPr>
          <w:p w14:paraId="4F763C5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具有蛋白质和多肽的分离，纯化，鉴定以及其功能分析等研究经验，研究对象以药用植物为主，可以扩展到动物源和人源的活性蛋白和多肽。优先考虑有蛋白组学和蛋白质结构解析，精通高分辨率质谱的操作和仪器维护等研究经验的应聘者，在相关领域发表过高水平论文。</w:t>
            </w:r>
          </w:p>
        </w:tc>
        <w:tc>
          <w:tcPr>
            <w:tcW w:w="1020" w:type="dxa"/>
            <w:shd w:val="clear" w:color="auto" w:fill="auto"/>
            <w:vAlign w:val="center"/>
          </w:tcPr>
          <w:p w14:paraId="58AD5D00">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2970" w:type="dxa"/>
            <w:vMerge w:val="restart"/>
            <w:shd w:val="clear" w:color="auto" w:fill="auto"/>
            <w:vAlign w:val="center"/>
          </w:tcPr>
          <w:p w14:paraId="19B3176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李晶</w:t>
            </w:r>
          </w:p>
          <w:p w14:paraId="4435038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lijing@wbgcas.cn</w:t>
            </w:r>
          </w:p>
        </w:tc>
      </w:tr>
      <w:tr w14:paraId="5E337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jc w:val="center"/>
        </w:trPr>
        <w:tc>
          <w:tcPr>
            <w:tcW w:w="1213" w:type="dxa"/>
            <w:vMerge w:val="continue"/>
            <w:shd w:val="clear" w:color="auto" w:fill="auto"/>
            <w:vAlign w:val="center"/>
          </w:tcPr>
          <w:p w14:paraId="5CEA4841">
            <w:pPr>
              <w:spacing w:line="360" w:lineRule="auto"/>
              <w:rPr>
                <w:rFonts w:hint="eastAsia" w:ascii="宋体" w:hAnsi="宋体" w:eastAsia="宋体" w:cs="宋体"/>
                <w:sz w:val="24"/>
                <w:szCs w:val="24"/>
              </w:rPr>
            </w:pPr>
          </w:p>
        </w:tc>
        <w:tc>
          <w:tcPr>
            <w:tcW w:w="1683" w:type="dxa"/>
            <w:shd w:val="clear" w:color="auto" w:fill="auto"/>
            <w:vAlign w:val="center"/>
          </w:tcPr>
          <w:p w14:paraId="23BC43E2">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合成生物学和化学生物学</w:t>
            </w:r>
          </w:p>
        </w:tc>
        <w:tc>
          <w:tcPr>
            <w:tcW w:w="7200" w:type="dxa"/>
            <w:shd w:val="clear" w:color="auto" w:fill="auto"/>
            <w:vAlign w:val="center"/>
          </w:tcPr>
          <w:p w14:paraId="43F64D10">
            <w:pPr>
              <w:spacing w:line="360" w:lineRule="auto"/>
              <w:rPr>
                <w:rFonts w:hint="eastAsia" w:ascii="宋体" w:hAnsi="宋体" w:eastAsia="宋体" w:cs="宋体"/>
                <w:color w:val="000000"/>
                <w:kern w:val="0"/>
                <w:sz w:val="24"/>
                <w:szCs w:val="24"/>
                <w:lang w:bidi="ar"/>
              </w:rPr>
            </w:pPr>
            <w:r>
              <w:rPr>
                <w:rFonts w:hint="eastAsia" w:ascii="宋体" w:hAnsi="宋体" w:eastAsia="宋体" w:cs="宋体"/>
                <w:sz w:val="24"/>
                <w:szCs w:val="24"/>
              </w:rPr>
              <w:t>具有基因和蛋白工程改造、代谢通路设计、底盘生物改造与构建、生物合成等研究经验，以药用植物活性蛋白和多肽为研究对象，采用合成生物学或化学生物学手段开展一系列研究，</w:t>
            </w:r>
            <w:r>
              <w:rPr>
                <w:rFonts w:hint="eastAsia" w:ascii="宋体" w:hAnsi="宋体" w:eastAsia="宋体" w:cs="宋体"/>
                <w:color w:val="000000"/>
                <w:kern w:val="0"/>
                <w:sz w:val="24"/>
                <w:szCs w:val="24"/>
                <w:lang w:bidi="ar"/>
              </w:rPr>
              <w:t>在相关领域发表过高水平论文。</w:t>
            </w:r>
          </w:p>
        </w:tc>
        <w:tc>
          <w:tcPr>
            <w:tcW w:w="1020" w:type="dxa"/>
            <w:shd w:val="clear" w:color="auto" w:fill="auto"/>
            <w:vAlign w:val="center"/>
          </w:tcPr>
          <w:p w14:paraId="2236F4EB">
            <w:pP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970" w:type="dxa"/>
            <w:vMerge w:val="continue"/>
            <w:shd w:val="clear" w:color="auto" w:fill="auto"/>
            <w:vAlign w:val="center"/>
          </w:tcPr>
          <w:p w14:paraId="446FA585">
            <w:pPr>
              <w:spacing w:line="360" w:lineRule="auto"/>
              <w:jc w:val="center"/>
              <w:rPr>
                <w:rFonts w:hint="eastAsia" w:ascii="宋体" w:hAnsi="宋体" w:eastAsia="宋体" w:cs="宋体"/>
                <w:color w:val="000000"/>
                <w:kern w:val="0"/>
                <w:sz w:val="24"/>
                <w:szCs w:val="24"/>
                <w:lang w:val="en-US" w:eastAsia="zh-CN" w:bidi="ar"/>
              </w:rPr>
            </w:pPr>
          </w:p>
        </w:tc>
      </w:tr>
      <w:tr w14:paraId="0B545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trPr>
        <w:tc>
          <w:tcPr>
            <w:tcW w:w="1213" w:type="dxa"/>
            <w:vMerge w:val="restart"/>
            <w:shd w:val="clear" w:color="auto" w:fill="auto"/>
            <w:vAlign w:val="center"/>
          </w:tcPr>
          <w:p w14:paraId="1195DAB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系统生态学</w:t>
            </w:r>
          </w:p>
        </w:tc>
        <w:tc>
          <w:tcPr>
            <w:tcW w:w="1683" w:type="dxa"/>
            <w:shd w:val="clear" w:color="auto" w:fill="auto"/>
            <w:vAlign w:val="center"/>
          </w:tcPr>
          <w:p w14:paraId="7FB1C49C">
            <w:pPr>
              <w:numPr>
                <w:ilvl w:val="0"/>
                <w:numId w:val="0"/>
              </w:numPr>
              <w:ind w:left="0" w:leftChars="0"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微生态学与氮循环</w:t>
            </w:r>
          </w:p>
        </w:tc>
        <w:tc>
          <w:tcPr>
            <w:tcW w:w="7200" w:type="dxa"/>
            <w:shd w:val="clear" w:color="auto" w:fill="auto"/>
            <w:vAlign w:val="center"/>
          </w:tcPr>
          <w:p w14:paraId="2ABB944C">
            <w:pPr>
              <w:pStyle w:val="2"/>
              <w:snapToGrid w:val="0"/>
              <w:spacing w:before="0" w:beforeAutospacing="0" w:after="0" w:afterAutospacing="0"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 xml:space="preserve">生态学、微生物学、环境科学等相关专业；具有团队协作精神和较强的科研能力，能够独立完成相关课题的研究；具有相关学科的研究背景，基础知识扎实。目前已取得较好科研成果的申请人将予以优先考虑；具有较强的英语阅读和写作能力。 </w:t>
            </w:r>
          </w:p>
        </w:tc>
        <w:tc>
          <w:tcPr>
            <w:tcW w:w="1020" w:type="dxa"/>
            <w:shd w:val="clear" w:color="auto" w:fill="auto"/>
            <w:vAlign w:val="center"/>
          </w:tcPr>
          <w:p w14:paraId="4ACC1E6D">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2970" w:type="dxa"/>
            <w:vMerge w:val="restart"/>
            <w:shd w:val="clear" w:color="auto" w:fill="auto"/>
            <w:vAlign w:val="center"/>
          </w:tcPr>
          <w:p w14:paraId="52E017E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张全发</w:t>
            </w:r>
          </w:p>
          <w:p w14:paraId="63404679">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qzhang@wbgcas.cn</w:t>
            </w:r>
          </w:p>
        </w:tc>
      </w:tr>
      <w:tr w14:paraId="7A796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trPr>
        <w:tc>
          <w:tcPr>
            <w:tcW w:w="1213" w:type="dxa"/>
            <w:vMerge w:val="continue"/>
            <w:tcBorders/>
            <w:shd w:val="clear" w:color="auto" w:fill="auto"/>
            <w:vAlign w:val="center"/>
          </w:tcPr>
          <w:p w14:paraId="72A6995A">
            <w:pPr>
              <w:jc w:val="center"/>
              <w:rPr>
                <w:rFonts w:hint="eastAsia" w:ascii="宋体" w:hAnsi="宋体" w:eastAsia="宋体" w:cs="宋体"/>
                <w:kern w:val="2"/>
                <w:sz w:val="24"/>
                <w:szCs w:val="24"/>
                <w:lang w:val="en-US" w:eastAsia="zh-CN" w:bidi="ar-SA"/>
              </w:rPr>
            </w:pPr>
          </w:p>
        </w:tc>
        <w:tc>
          <w:tcPr>
            <w:tcW w:w="1683" w:type="dxa"/>
            <w:shd w:val="clear" w:color="auto" w:fill="auto"/>
            <w:vAlign w:val="center"/>
          </w:tcPr>
          <w:p w14:paraId="6FEEA5A8">
            <w:pPr>
              <w:numPr>
                <w:ilvl w:val="0"/>
                <w:numId w:val="0"/>
              </w:numPr>
              <w:ind w:left="0" w:leftChars="0"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河流生态学</w:t>
            </w:r>
          </w:p>
        </w:tc>
        <w:tc>
          <w:tcPr>
            <w:tcW w:w="7200" w:type="dxa"/>
            <w:shd w:val="clear" w:color="auto" w:fill="auto"/>
            <w:vAlign w:val="center"/>
          </w:tcPr>
          <w:p w14:paraId="0E99F601">
            <w:pPr>
              <w:pStyle w:val="2"/>
              <w:snapToGrid w:val="0"/>
              <w:spacing w:before="0" w:beforeAutospacing="0" w:after="0" w:afterAutospacing="0"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 xml:space="preserve">生态学、生物学、环境科学等相关专业；具有团队协作精神和较强的科研能力，能够独立完成相关课题的研究；具有相关学科的研究背景，基础知识扎实。目前已取得较好科研成果的申请人将予以优先考虑；具有较强的英语阅读和写作能力。 </w:t>
            </w:r>
          </w:p>
        </w:tc>
        <w:tc>
          <w:tcPr>
            <w:tcW w:w="1020" w:type="dxa"/>
            <w:shd w:val="clear" w:color="auto" w:fill="auto"/>
            <w:vAlign w:val="center"/>
          </w:tcPr>
          <w:p w14:paraId="647B473D">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2970" w:type="dxa"/>
            <w:vMerge w:val="continue"/>
            <w:tcBorders/>
            <w:shd w:val="clear" w:color="auto" w:fill="auto"/>
            <w:vAlign w:val="center"/>
          </w:tcPr>
          <w:p w14:paraId="17A5204C">
            <w:pPr>
              <w:jc w:val="center"/>
              <w:rPr>
                <w:rFonts w:hint="eastAsia" w:ascii="宋体" w:hAnsi="宋体" w:eastAsia="宋体" w:cs="宋体"/>
                <w:sz w:val="24"/>
                <w:szCs w:val="24"/>
              </w:rPr>
            </w:pPr>
          </w:p>
        </w:tc>
      </w:tr>
      <w:tr w14:paraId="6C055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trPr>
        <w:tc>
          <w:tcPr>
            <w:tcW w:w="1213" w:type="dxa"/>
            <w:vMerge w:val="continue"/>
            <w:tcBorders/>
            <w:shd w:val="clear" w:color="auto" w:fill="auto"/>
            <w:vAlign w:val="center"/>
          </w:tcPr>
          <w:p w14:paraId="1D598913">
            <w:pPr>
              <w:jc w:val="center"/>
              <w:rPr>
                <w:rFonts w:hint="eastAsia" w:ascii="宋体" w:hAnsi="宋体" w:eastAsia="宋体" w:cs="宋体"/>
                <w:kern w:val="2"/>
                <w:sz w:val="24"/>
                <w:szCs w:val="24"/>
                <w:lang w:val="en-US" w:eastAsia="zh-CN" w:bidi="ar-SA"/>
              </w:rPr>
            </w:pPr>
          </w:p>
        </w:tc>
        <w:tc>
          <w:tcPr>
            <w:tcW w:w="1683" w:type="dxa"/>
            <w:shd w:val="clear" w:color="auto" w:fill="auto"/>
            <w:vAlign w:val="center"/>
          </w:tcPr>
          <w:p w14:paraId="04677707">
            <w:pPr>
              <w:numPr>
                <w:ilvl w:val="0"/>
                <w:numId w:val="0"/>
              </w:numPr>
              <w:ind w:left="0" w:leftChars="0"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生态系统多功能性</w:t>
            </w:r>
          </w:p>
        </w:tc>
        <w:tc>
          <w:tcPr>
            <w:tcW w:w="7200" w:type="dxa"/>
            <w:shd w:val="clear" w:color="auto" w:fill="auto"/>
            <w:vAlign w:val="center"/>
          </w:tcPr>
          <w:p w14:paraId="27049787">
            <w:pPr>
              <w:pStyle w:val="2"/>
              <w:snapToGrid w:val="0"/>
              <w:spacing w:before="0" w:beforeAutospacing="0" w:after="0" w:afterAutospacing="0"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 xml:space="preserve">生态学、地理学、遥感等相关专业；具有团队协作精神和较强的科研能力，能够独立完成相关课题的研究；具有相关学科的研究背景，基础知识扎实。目前已取得较好科研成果的申请人将予以优先考虑；具有较强的英语阅读和写作能力。 </w:t>
            </w:r>
          </w:p>
        </w:tc>
        <w:tc>
          <w:tcPr>
            <w:tcW w:w="1020" w:type="dxa"/>
            <w:shd w:val="clear" w:color="auto" w:fill="auto"/>
            <w:vAlign w:val="center"/>
          </w:tcPr>
          <w:p w14:paraId="7F72BF72">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2970" w:type="dxa"/>
            <w:vMerge w:val="continue"/>
            <w:tcBorders/>
            <w:shd w:val="clear" w:color="auto" w:fill="auto"/>
            <w:vAlign w:val="center"/>
          </w:tcPr>
          <w:p w14:paraId="47003E42">
            <w:pPr>
              <w:jc w:val="center"/>
              <w:rPr>
                <w:rFonts w:hint="eastAsia" w:ascii="宋体" w:hAnsi="宋体" w:eastAsia="宋体" w:cs="宋体"/>
                <w:sz w:val="24"/>
                <w:szCs w:val="24"/>
              </w:rPr>
            </w:pPr>
          </w:p>
        </w:tc>
      </w:tr>
      <w:tr w14:paraId="1DF25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trPr>
        <w:tc>
          <w:tcPr>
            <w:tcW w:w="1213" w:type="dxa"/>
            <w:vMerge w:val="continue"/>
            <w:tcBorders/>
          </w:tcPr>
          <w:p w14:paraId="1517FB87">
            <w:pPr>
              <w:jc w:val="center"/>
              <w:rPr>
                <w:rFonts w:hint="eastAsia" w:ascii="宋体" w:hAnsi="宋体" w:eastAsia="宋体" w:cs="宋体"/>
                <w:kern w:val="2"/>
                <w:sz w:val="24"/>
                <w:szCs w:val="24"/>
                <w:lang w:val="en-US" w:eastAsia="zh-CN" w:bidi="ar-SA"/>
              </w:rPr>
            </w:pPr>
          </w:p>
        </w:tc>
        <w:tc>
          <w:tcPr>
            <w:tcW w:w="1683" w:type="dxa"/>
            <w:shd w:val="clear" w:color="auto" w:fill="auto"/>
            <w:vAlign w:val="center"/>
          </w:tcPr>
          <w:p w14:paraId="66094BCA">
            <w:pPr>
              <w:numPr>
                <w:ilvl w:val="0"/>
                <w:numId w:val="0"/>
              </w:numPr>
              <w:ind w:left="0" w:leftChars="0"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可持续生态学</w:t>
            </w:r>
          </w:p>
        </w:tc>
        <w:tc>
          <w:tcPr>
            <w:tcW w:w="7200" w:type="dxa"/>
            <w:shd w:val="clear" w:color="auto" w:fill="auto"/>
            <w:vAlign w:val="center"/>
          </w:tcPr>
          <w:p w14:paraId="65286300">
            <w:pPr>
              <w:pStyle w:val="2"/>
              <w:snapToGrid w:val="0"/>
              <w:spacing w:before="0" w:beforeAutospacing="0" w:after="0" w:afterAutospacing="0"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生态学、地理学、遥感等相关专业；具有团队协作精神和较强的科研能力，能够独立完成相关课题的研究；具有相关学科的研究背景，基础知识扎实</w:t>
            </w:r>
            <w:r>
              <w:rPr>
                <w:rFonts w:hint="eastAsia" w:cs="宋体"/>
                <w:color w:val="000000"/>
                <w:sz w:val="24"/>
                <w:szCs w:val="24"/>
                <w:lang w:eastAsia="zh-CN"/>
              </w:rPr>
              <w:t>，</w:t>
            </w:r>
            <w:r>
              <w:rPr>
                <w:rFonts w:hint="eastAsia" w:ascii="宋体" w:hAnsi="宋体" w:eastAsia="宋体" w:cs="宋体"/>
                <w:color w:val="000000"/>
                <w:sz w:val="24"/>
                <w:szCs w:val="24"/>
              </w:rPr>
              <w:t>目前已取得较好科研成果的申请人将予以优先考虑；具有较强的英语阅读和写作能力。</w:t>
            </w:r>
          </w:p>
        </w:tc>
        <w:tc>
          <w:tcPr>
            <w:tcW w:w="1020" w:type="dxa"/>
            <w:shd w:val="clear" w:color="auto" w:fill="auto"/>
            <w:vAlign w:val="center"/>
          </w:tcPr>
          <w:p w14:paraId="71A5B76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2970" w:type="dxa"/>
            <w:vMerge w:val="continue"/>
            <w:tcBorders/>
          </w:tcPr>
          <w:p w14:paraId="05340A3B">
            <w:pPr>
              <w:jc w:val="center"/>
              <w:rPr>
                <w:rFonts w:hint="eastAsia" w:ascii="宋体" w:hAnsi="宋体" w:eastAsia="宋体" w:cs="宋体"/>
                <w:sz w:val="24"/>
                <w:szCs w:val="24"/>
              </w:rPr>
            </w:pPr>
          </w:p>
        </w:tc>
      </w:tr>
    </w:tbl>
    <w:p w14:paraId="21DF2AD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B33F64"/>
    <w:rsid w:val="4BB847F5"/>
    <w:rsid w:val="650E2D27"/>
    <w:rsid w:val="7CFC2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2025-09-18T14:57:41Z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eyJoZGlkIjoiMzA3ZTgzMmViZDE4ZTBhYjc2ZDZhNDg0NmE1MzA1ZTkiLCJ1c2VySWQiOiI3ODQ1NzMxMjIifQ==</vt:lpwstr>
  </property>
  <property fmtid="{D5CDD505-2E9C-101B-9397-08002B2CF9AE}" pid="4" name="ICV">
    <vt:lpwstr>78AEDDE81EE44BDEA46BDF99CA06D5F7_12</vt:lpwstr>
  </property>
</Properties>
</file>